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ŃSKI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: AB.6743.140.2019                                                          Wieluń, dn. 09-04-2019 roku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UP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ŁYWIE TERMINU, O KTÓRYM MOWA W ART. 30 UST. 5 USTAWY – PRAWO BUDOWLANE– INFORMACJA O BRAKU WNIESIENIA SPRZECIWU DO ZGŁOSZENIA ROBÓT BUDOWLANYCH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Na podstawie art. 30a pkt. 3 ustawy z dnia 07 lipca 1994 roku – Prawo budowlane (Dz. U. z 201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roku,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poz. 1202 ze zm.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o upływie terminu do wniesienia sprzeciwu w sprawie wniosku zgłoszenia robót budowlanych nie wymagających pozwolenia na budowę dotyczących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"budowy linii kablowej niskiego napięcia wraz ze złączem kablowym, zlokalizowanej na działkach o nr geod. 612, 589/3, 586/2, 586/4 obreb Kurów, gmina Wieluń", inwestor: PGE Dystrybucja S.A. Oddział Łódź, numer rejestru organu 05745/2019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wniosek z dnia 18-03-2019 roku.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a/a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